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05AC" w14:textId="77777777" w:rsidR="000A1D57" w:rsidRPr="0089491F" w:rsidRDefault="000A1D57" w:rsidP="008949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360214E" w14:textId="1E1C98C7" w:rsidR="00B436CE" w:rsidRPr="00B147BA" w:rsidRDefault="00B147BA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147BA">
        <w:rPr>
          <w:rFonts w:ascii="Times New Roman" w:hAnsi="Times New Roman" w:cs="Times New Roman"/>
          <w:b/>
          <w:i/>
          <w:sz w:val="32"/>
          <w:szCs w:val="32"/>
        </w:rPr>
        <w:t>Программа итогового контроля по дисциплине</w:t>
      </w:r>
    </w:p>
    <w:p w14:paraId="69EA67B4" w14:textId="77777777" w:rsidR="00CC7135" w:rsidRPr="00B147BA" w:rsidRDefault="00CC7135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5156" w14:textId="75BABE13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7BA">
        <w:rPr>
          <w:rFonts w:ascii="Times New Roman" w:hAnsi="Times New Roman" w:cs="Times New Roman"/>
          <w:b/>
          <w:i/>
          <w:sz w:val="24"/>
          <w:szCs w:val="24"/>
        </w:rPr>
        <w:t>«___________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Протоколы беспроводной связи 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IoT</w:t>
      </w:r>
      <w:r w:rsidR="00B147BA" w:rsidRP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технологии</w:t>
      </w:r>
      <w:r w:rsidR="00F666B6" w:rsidRPr="00B147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47BA">
        <w:rPr>
          <w:rFonts w:ascii="Times New Roman" w:hAnsi="Times New Roman" w:cs="Times New Roman"/>
          <w:b/>
          <w:i/>
          <w:sz w:val="24"/>
          <w:szCs w:val="24"/>
        </w:rPr>
        <w:t xml:space="preserve">___________» </w:t>
      </w:r>
    </w:p>
    <w:p w14:paraId="74D22E20" w14:textId="77777777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56BBF4" w14:textId="77777777" w:rsidR="00B147BA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на 2023/2024 учебный год</w:t>
      </w:r>
    </w:p>
    <w:p w14:paraId="70755C06" w14:textId="77777777" w:rsidR="00B147BA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48AC5" w14:textId="615850F5" w:rsidR="00B436CE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весенний семестр</w:t>
      </w:r>
    </w:p>
    <w:p w14:paraId="0FAC7366" w14:textId="77777777" w:rsidR="00B436CE" w:rsidRPr="00B147BA" w:rsidRDefault="00B436CE" w:rsidP="001D0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3BCA3" w14:textId="77777777" w:rsidR="00B436CE" w:rsidRPr="00B147BA" w:rsidRDefault="00B436CE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895FB" w14:textId="00DB9243" w:rsidR="00B436CE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iCs/>
          <w:sz w:val="24"/>
          <w:szCs w:val="24"/>
        </w:rPr>
        <w:t>Факультет</w:t>
      </w:r>
      <w:r w:rsidRPr="00B147BA">
        <w:rPr>
          <w:rFonts w:ascii="Times New Roman" w:hAnsi="Times New Roman" w:cs="Times New Roman"/>
          <w:i/>
          <w:sz w:val="24"/>
          <w:szCs w:val="24"/>
        </w:rPr>
        <w:t xml:space="preserve"> __ Информационные технологии</w:t>
      </w:r>
      <w:r w:rsidRPr="00B14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8F9" w:rsidRPr="00B147BA">
        <w:rPr>
          <w:rFonts w:ascii="Times New Roman" w:hAnsi="Times New Roman" w:cs="Times New Roman"/>
          <w:i/>
          <w:sz w:val="24"/>
          <w:szCs w:val="24"/>
        </w:rPr>
        <w:t>___</w:t>
      </w:r>
    </w:p>
    <w:p w14:paraId="099E6CB8" w14:textId="77777777" w:rsidR="001D08F9" w:rsidRPr="00B147BA" w:rsidRDefault="001D08F9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542C9" w14:textId="2B93997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Кафедра _____ Искусственного интеллекта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Big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14:paraId="3578B925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A63D1" w14:textId="693F66A2" w:rsidR="00B147BA" w:rsidRPr="00B147B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="0089491F" w:rsidRPr="00DD276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9491F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894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Интеллектуальные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системы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управления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»</w:t>
      </w:r>
    </w:p>
    <w:p w14:paraId="5618E78E" w14:textId="0B7E9D4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Язык обучения: </w:t>
      </w:r>
      <w:r w:rsidRPr="00B147BA">
        <w:rPr>
          <w:rFonts w:ascii="Times New Roman" w:hAnsi="Times New Roman" w:cs="Times New Roman"/>
          <w:bCs/>
          <w:sz w:val="24"/>
          <w:szCs w:val="24"/>
        </w:rPr>
        <w:t>русский</w:t>
      </w:r>
    </w:p>
    <w:p w14:paraId="50FF4799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4990D" w14:textId="6C6A951E" w:rsidR="001D08F9" w:rsidRPr="00B147BA" w:rsidRDefault="00B147BA" w:rsidP="00B14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001623BD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CD70C" w14:textId="77777777" w:rsidR="00B147BA" w:rsidRPr="00690531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14:paraId="500D7B42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D8588B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AC27" w14:textId="0DD05661" w:rsidR="00B436CE" w:rsidRPr="00B147BA" w:rsidRDefault="00B436CE" w:rsidP="00B147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97DFBD" w14:textId="77777777" w:rsidR="00B147BA" w:rsidRPr="00607770" w:rsidRDefault="00B147BA" w:rsidP="00B147BA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3A567C3" wp14:editId="3B8A8E04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70280517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1453784304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13406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77DB7" id="drawingObject7" o:spid="_x0000_s1026" style="position:absolute;margin-left:76.6pt;margin-top:-.1pt;width:483pt;height:27.25pt;z-index:-251650048;mso-position-horizontal-relative:page" coordsize="61338,3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&#13;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&#13;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&#13;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14:paraId="196F4A07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C70A56">
        <w:rPr>
          <w:sz w:val="24"/>
          <w:szCs w:val="24"/>
        </w:rPr>
        <w:t xml:space="preserve">Введение в </w:t>
      </w:r>
      <w:r w:rsidRPr="00C70A56">
        <w:rPr>
          <w:color w:val="000000"/>
          <w:sz w:val="24"/>
          <w:szCs w:val="24"/>
        </w:rPr>
        <w:t xml:space="preserve">протоколы беспроводной связи </w:t>
      </w:r>
      <w:r w:rsidRPr="00C70A56">
        <w:rPr>
          <w:color w:val="000000"/>
          <w:sz w:val="24"/>
          <w:szCs w:val="24"/>
          <w:lang w:val="en-US"/>
        </w:rPr>
        <w:t>IoT</w:t>
      </w:r>
      <w:r w:rsidRPr="00C70A56">
        <w:rPr>
          <w:color w:val="000000"/>
          <w:sz w:val="24"/>
          <w:szCs w:val="24"/>
        </w:rPr>
        <w:t xml:space="preserve"> устройств</w:t>
      </w:r>
      <w:r w:rsidRPr="00C70A56">
        <w:rPr>
          <w:sz w:val="24"/>
          <w:szCs w:val="24"/>
        </w:rPr>
        <w:t xml:space="preserve"> и его роль в </w:t>
      </w:r>
      <w:proofErr w:type="spellStart"/>
      <w:r w:rsidRPr="00C70A56">
        <w:rPr>
          <w:sz w:val="24"/>
          <w:szCs w:val="24"/>
        </w:rPr>
        <w:t>интеллектуализированных</w:t>
      </w:r>
      <w:proofErr w:type="spellEnd"/>
      <w:r w:rsidRPr="00C70A56">
        <w:rPr>
          <w:sz w:val="24"/>
          <w:szCs w:val="24"/>
        </w:rPr>
        <w:t xml:space="preserve"> системах</w:t>
      </w:r>
    </w:p>
    <w:p w14:paraId="5D77A577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14:paraId="5213A58A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14:paraId="56C27AC5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</w:t>
      </w:r>
      <w:proofErr w:type="spellStart"/>
      <w:r>
        <w:rPr>
          <w:sz w:val="24"/>
          <w:szCs w:val="24"/>
          <w:lang w:val="en-US"/>
        </w:rPr>
        <w:t>Zeegbi</w:t>
      </w:r>
      <w:proofErr w:type="spellEnd"/>
    </w:p>
    <w:p w14:paraId="7DECB706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 xml:space="preserve">Установка связи </w:t>
      </w:r>
      <w:r w:rsidRPr="006701BC">
        <w:rPr>
          <w:bCs/>
          <w:sz w:val="20"/>
          <w:szCs w:val="20"/>
          <w:lang w:val="en-US" w:eastAsia="ru-RU"/>
        </w:rPr>
        <w:t>LOGO</w:t>
      </w:r>
    </w:p>
    <w:p w14:paraId="7D364AC0" w14:textId="77777777" w:rsidR="00B147BA" w:rsidRPr="00D81927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>Настройка обмена данных между интерфейсом и контроллером</w:t>
      </w:r>
    </w:p>
    <w:p w14:paraId="26DEA568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Эргономика и психология в </w:t>
      </w:r>
      <w:proofErr w:type="spellStart"/>
      <w:r>
        <w:rPr>
          <w:sz w:val="24"/>
          <w:szCs w:val="24"/>
          <w:lang w:val="en-US"/>
        </w:rPr>
        <w:t>Lorawan</w:t>
      </w:r>
      <w:proofErr w:type="spellEnd"/>
    </w:p>
    <w:p w14:paraId="467C51C9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14:paraId="2A5A5F0B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графиков и диаграмм</w:t>
      </w:r>
    </w:p>
    <w:p w14:paraId="67FCE65C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t>Добавление анимации и визуализации данных в</w:t>
      </w:r>
      <w:r>
        <w:t xml:space="preserve"> </w:t>
      </w:r>
      <w:r w:rsidRPr="00D81927">
        <w:rPr>
          <w:sz w:val="20"/>
          <w:szCs w:val="20"/>
          <w:lang w:val="en-US"/>
        </w:rPr>
        <w:t>SCADA</w:t>
      </w:r>
    </w:p>
    <w:p w14:paraId="6C1E4E8E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Принципы взаимодействия пользователя с </w:t>
      </w:r>
      <w:r w:rsidRPr="00C70A56">
        <w:rPr>
          <w:sz w:val="20"/>
          <w:szCs w:val="20"/>
        </w:rPr>
        <w:t>ограниченным протокол приложений (</w:t>
      </w:r>
      <w:proofErr w:type="spellStart"/>
      <w:r w:rsidRPr="00C70A56">
        <w:rPr>
          <w:sz w:val="20"/>
          <w:szCs w:val="20"/>
        </w:rPr>
        <w:t>CoAP</w:t>
      </w:r>
      <w:proofErr w:type="spellEnd"/>
      <w:r w:rsidRPr="00C70A56">
        <w:rPr>
          <w:sz w:val="20"/>
          <w:szCs w:val="20"/>
        </w:rPr>
        <w:t>)</w:t>
      </w:r>
    </w:p>
    <w:p w14:paraId="61B89672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C70A56">
        <w:rPr>
          <w:sz w:val="24"/>
          <w:szCs w:val="24"/>
        </w:rPr>
        <w:t>Создание шаблонов для повторного использования</w:t>
      </w:r>
    </w:p>
    <w:p w14:paraId="01706CCF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Message Queue Telemetry Transport (MQTT)</w:t>
      </w:r>
    </w:p>
    <w:p w14:paraId="510AE90F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Transmission Control Protocol (TCP)</w:t>
      </w:r>
    </w:p>
    <w:p w14:paraId="2A9BD691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User Datagram Protocol (UDP)</w:t>
      </w:r>
    </w:p>
    <w:p w14:paraId="3783501E" w14:textId="77777777" w:rsidR="00B147BA" w:rsidRPr="00C70A56" w:rsidRDefault="00B147BA" w:rsidP="00B147BA">
      <w:pPr>
        <w:rPr>
          <w:sz w:val="24"/>
          <w:szCs w:val="24"/>
          <w:lang w:val="kk-KZ"/>
        </w:rPr>
      </w:pPr>
    </w:p>
    <w:p w14:paraId="66614B8D" w14:textId="77777777" w:rsidR="00037EDE" w:rsidRDefault="00037ED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66D62FC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4770E4A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E1061EA" w14:textId="77777777" w:rsidR="0089491F" w:rsidRP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30BACA" w14:textId="77777777" w:rsidR="00B147BA" w:rsidRPr="00B147BA" w:rsidRDefault="00B147BA" w:rsidP="00B147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14:paraId="4D7AADB3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</w:p>
    <w:p w14:paraId="76668F74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устный</w:t>
      </w:r>
    </w:p>
    <w:p w14:paraId="56FF802F" w14:textId="2A3FDCE3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14:paraId="550F9A2C" w14:textId="6F09CC53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14:paraId="529A5F8D" w14:textId="4C513A5F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 протоколам </w:t>
      </w:r>
      <w:r w:rsidR="00013F9C">
        <w:rPr>
          <w:rFonts w:ascii="Times New Roman" w:hAnsi="Times New Roman" w:cs="Times New Roman"/>
          <w:sz w:val="24"/>
          <w:szCs w:val="24"/>
          <w:lang w:val="en-US"/>
        </w:rPr>
        <w:t>IoT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14:paraId="3CC25B8A" w14:textId="5F623909" w:rsidR="003B5EF7" w:rsidRPr="00013F9C" w:rsidRDefault="00B147BA" w:rsidP="00013F9C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14:paraId="63F03000" w14:textId="77777777" w:rsid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14:paraId="7BE2361D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6E572E" w14:textId="55C146AE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Целью задания экзамена по Протоколам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14:paraId="741337C1" w14:textId="444E94C9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1. Понимание фундаментальных характеристик и преимуществ Протоколов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04EE239" w14:textId="15AEB3A5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 протоколы беспроводной связи.</w:t>
      </w:r>
    </w:p>
    <w:p w14:paraId="0D4968F8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3. Навыки работы с протоколами беспроводной связи для осуществления автоматизации процесса</w:t>
      </w:r>
    </w:p>
    <w:p w14:paraId="544CB7C7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4. Умение разрабатывать протоколы с системами и компьютером.</w:t>
      </w:r>
    </w:p>
    <w:p w14:paraId="1E332449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графические редакторы для протокола.</w:t>
      </w:r>
    </w:p>
    <w:p w14:paraId="2B03D9F0" w14:textId="15C4610F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6. Навыки работы с графическими редакторами включая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симулирование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DCCA8B9" w14:textId="0EA9E6BC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7. Знание и использование встроенных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шаблонов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графических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объектов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для оптимизации интерфейсов.</w:t>
      </w:r>
    </w:p>
    <w:p w14:paraId="3F71A78F" w14:textId="086BEDA0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8. Способствовать разрабатывать сценарии и методы для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улучшения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дизайна проекта с протоколами.</w:t>
      </w:r>
    </w:p>
    <w:p w14:paraId="28B9191B" w14:textId="1BB34933" w:rsidR="000C505F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9. Умение интерпретировать функциональные требования и спецификации для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сисием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протоколами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3AA464A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DCD158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14:paraId="4557DA2F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565A264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14:paraId="5B7B262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14:paraId="1E741830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6D0B7B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14:paraId="7025A061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E869775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14:paraId="3C6D44D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14:paraId="46F69DC8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14:paraId="7E0FEBE7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43D9EC7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14:paraId="1A523CB9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14:paraId="5FF0395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14:paraId="51BD06FA" w14:textId="1DD54216" w:rsidR="0005726B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14:paraId="45670E44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253B8031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14:paraId="76B1AFB0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ADF59D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14:paraId="41B4597C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0532E3A7" w14:textId="3ED9AE88" w:rsidR="00A64838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proofErr w:type="gram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Протоколы беспроводной связи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ЙоТ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 устройства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устная/оффлайн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Универ___</w:t>
      </w:r>
    </w:p>
    <w:p w14:paraId="672187A6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C5DD602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6B4195" w:rsidRPr="000D2FEF" w14:paraId="25B053DA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6E7B105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987AF1" w14:textId="24D92E7C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="006B4195"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75B16EED" w14:textId="2D874FB3" w:rsidR="006B4195" w:rsidRPr="000D2FEF" w:rsidRDefault="006B4195" w:rsidP="001D08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293DEC" wp14:editId="3D393C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2D775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14:paraId="32F97DBF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859E7C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1D532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0C9A53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8925BC" w14:textId="6B8D34E8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79975A" w14:textId="465E76FD" w:rsidR="006B4195" w:rsidRPr="000D2FEF" w:rsidRDefault="006B0409" w:rsidP="001D08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6B4195" w:rsidRPr="000D2FEF" w14:paraId="4E9FB386" w14:textId="77777777" w:rsidTr="00EE6DF2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8DAB48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0E83B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0A2208" w14:textId="3B72E2A1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C87DD2" w14:textId="2913B3AE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8FD73A" w14:textId="68B0DC5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40A250" w14:textId="356DB128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</w:tr>
      <w:tr w:rsidR="006B4195" w:rsidRPr="000D2FEF" w14:paraId="6BBE58A0" w14:textId="77777777" w:rsidTr="00EE6DF2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B6FB10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A776C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541F3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3E1E34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19849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004435" w14:textId="77777777" w:rsidR="006B4195" w:rsidRPr="000D2FEF" w:rsidRDefault="006B4195" w:rsidP="001D08F9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A459DAA" w14:textId="77777777" w:rsidR="006B4195" w:rsidRPr="000D2FEF" w:rsidRDefault="006B4195" w:rsidP="001D08F9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6B4195" w:rsidRPr="000D2FEF" w14:paraId="3CD64571" w14:textId="77777777" w:rsidTr="00EE6DF2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5AD21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B49E0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8DD7B6" w14:textId="345A247D" w:rsidR="006B4195" w:rsidRPr="00013F9C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протоколам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IoT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995853" w14:textId="669F8CF7" w:rsidR="006B4195" w:rsidRPr="000D2FEF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в целом были даны правильные ответы, но с некоторыми неточностями, не носящими принципиального характера. Не все команды и инструменты по протоколам беспроводной связи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B8DE55" w14:textId="702033D4" w:rsidR="006B4195" w:rsidRPr="005F131A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содержательные блоки по протоколам беспроводной связи, 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4343F7" w14:textId="47ECDF5E" w:rsidR="006B4195" w:rsidRPr="005F131A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271825" w14:textId="054E05C8" w:rsidR="006B4195" w:rsidRPr="000D2FEF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6B4195" w:rsidRPr="005F131A" w14:paraId="72DF8449" w14:textId="77777777" w:rsidTr="00EE6DF2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32DF97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26496" w14:textId="5B84C247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и анализ 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5562E" w14:textId="76436762" w:rsidR="006B4195" w:rsidRPr="005F131A" w:rsidRDefault="005F131A" w:rsidP="001D08F9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Умение интегрировать, проверять и анализировать методы и технологии по конкретной теме, протоколам беспроводной связи,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4C980" w14:textId="6C6E9846" w:rsidR="006B4195" w:rsidRPr="005F131A" w:rsidRDefault="005F131A" w:rsidP="00D20E81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протоколов беспроводной связи 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3058B" w14:textId="50C848D8" w:rsidR="006B4195" w:rsidRPr="005F131A" w:rsidRDefault="005F131A" w:rsidP="001D08F9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t>Поверхностное обоснование протоколов беспроводной связи,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14:paraId="4358A1BA" w14:textId="77777777" w:rsidR="006B4195" w:rsidRPr="005F131A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2A0F3" w14:textId="244B7A61" w:rsidR="006B4195" w:rsidRPr="005F131A" w:rsidRDefault="005F131A" w:rsidP="005F131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Недостаточная обоснованность 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AA4C2" w14:textId="0B6ED493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умения 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14:paraId="03E2CE3F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F0F05C1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E5C7FCC" w14:textId="3DDB4E29" w:rsidR="006B4195" w:rsidRPr="005F131A" w:rsidRDefault="005F131A" w:rsidP="005F1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7CCEAD9E" w14:textId="33D7E3F6" w:rsidR="00814F13" w:rsidRPr="005F131A" w:rsidRDefault="005F131A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Новые возможности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Arduino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ESP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Raspberry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проектах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Петин В.А.2021</w:t>
      </w:r>
    </w:p>
    <w:p w14:paraId="4D4D4821" w14:textId="1BD71F3A" w:rsidR="005F131A" w:rsidRPr="0089491F" w:rsidRDefault="005F131A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IoT Fundamentals Networking Technologies, Protocols, </w:t>
      </w:r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Use Cases for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IoT.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D.Hanes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G.Salgueiro</w:t>
      </w:r>
      <w:proofErr w:type="spellEnd"/>
      <w:proofErr w:type="gram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2017</w:t>
      </w:r>
    </w:p>
    <w:p w14:paraId="6FB43E92" w14:textId="07CBE59E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Smart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devieces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Applications and Protocols for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Rodriegues.2019</w:t>
      </w:r>
    </w:p>
    <w:p w14:paraId="0EB1342C" w14:textId="694C61F7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MQQT Essentials-A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Lightweitght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IoT Protocol. G.C.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Hillar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2017</w:t>
      </w:r>
    </w:p>
    <w:p w14:paraId="54BF8C66" w14:textId="08083491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IoT Communication Protocols Second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Edition.G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Blokdyk.2022</w:t>
      </w:r>
    </w:p>
    <w:p w14:paraId="41FE60F4" w14:textId="77777777" w:rsidR="0089491F" w:rsidRDefault="0089491F" w:rsidP="0089491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5EA0C3" w14:textId="740847AF" w:rsidR="0089491F" w:rsidRPr="0089491F" w:rsidRDefault="0089491F" w:rsidP="008949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14:paraId="23EADCE7" w14:textId="0C50C462" w:rsidR="0005726B" w:rsidRPr="0089491F" w:rsidRDefault="0089491F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  <w:lang w:val="ru-KZ"/>
        </w:rPr>
      </w:pPr>
      <w:hyperlink r:id="rId7" w:history="1">
        <w:r w:rsidRPr="0091797C">
          <w:rPr>
            <w:rStyle w:val="ac"/>
            <w:b/>
            <w:bCs/>
            <w:sz w:val="23"/>
            <w:szCs w:val="23"/>
            <w:lang w:val="en-US"/>
          </w:rPr>
          <w:t>http</w:t>
        </w:r>
        <w:r w:rsidRPr="0091797C">
          <w:rPr>
            <w:rStyle w:val="ac"/>
            <w:b/>
            <w:bCs/>
            <w:sz w:val="23"/>
            <w:szCs w:val="23"/>
          </w:rPr>
          <w:t>://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www</w:t>
        </w:r>
        <w:r w:rsidRPr="0091797C">
          <w:rPr>
            <w:rStyle w:val="ac"/>
            <w:b/>
            <w:bCs/>
            <w:sz w:val="23"/>
            <w:szCs w:val="23"/>
          </w:rPr>
          <w:t>.</w:t>
        </w:r>
        <w:proofErr w:type="spellStart"/>
        <w:r w:rsidRPr="0091797C">
          <w:rPr>
            <w:rStyle w:val="ac"/>
            <w:b/>
            <w:bCs/>
            <w:sz w:val="23"/>
            <w:szCs w:val="23"/>
            <w:lang w:val="en-US"/>
          </w:rPr>
          <w:t>ifac</w:t>
        </w:r>
        <w:proofErr w:type="spellEnd"/>
        <w:r w:rsidRPr="0091797C">
          <w:rPr>
            <w:rStyle w:val="ac"/>
            <w:b/>
            <w:bCs/>
            <w:sz w:val="23"/>
            <w:szCs w:val="23"/>
          </w:rPr>
          <w:t>-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control</w:t>
        </w:r>
        <w:r w:rsidRPr="0091797C">
          <w:rPr>
            <w:rStyle w:val="ac"/>
            <w:b/>
            <w:bCs/>
            <w:sz w:val="23"/>
            <w:szCs w:val="23"/>
          </w:rPr>
          <w:t>.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org</w:t>
        </w:r>
        <w:r w:rsidRPr="0091797C">
          <w:rPr>
            <w:rStyle w:val="ac"/>
            <w:b/>
            <w:bCs/>
            <w:sz w:val="23"/>
            <w:szCs w:val="23"/>
          </w:rPr>
          <w:t>/</w:t>
        </w:r>
      </w:hyperlink>
    </w:p>
    <w:p w14:paraId="03483120" w14:textId="0CC41212" w:rsidR="0089491F" w:rsidRDefault="0089491F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  <w:lang w:val="ru-KZ"/>
        </w:rPr>
      </w:pPr>
      <w:hyperlink r:id="rId8" w:history="1">
        <w:r w:rsidRPr="0091797C">
          <w:rPr>
            <w:rStyle w:val="ac"/>
            <w:b/>
            <w:bCs/>
            <w:sz w:val="23"/>
            <w:szCs w:val="23"/>
            <w:lang w:val="ru-KZ"/>
          </w:rPr>
          <w:t>http://www.mathnet.ru/</w:t>
        </w:r>
      </w:hyperlink>
    </w:p>
    <w:p w14:paraId="50B8F1D4" w14:textId="77777777" w:rsidR="0089491F" w:rsidRPr="00814F13" w:rsidRDefault="0089491F" w:rsidP="0089491F">
      <w:pPr>
        <w:pStyle w:val="Default"/>
        <w:ind w:left="280"/>
        <w:rPr>
          <w:b/>
          <w:bCs/>
          <w:sz w:val="23"/>
          <w:szCs w:val="23"/>
          <w:lang w:val="ru-KZ"/>
        </w:rPr>
      </w:pPr>
    </w:p>
    <w:sectPr w:rsidR="0089491F" w:rsidRPr="00814F13" w:rsidSect="009509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3448" w14:textId="77777777" w:rsidR="0095093B" w:rsidRDefault="0095093B" w:rsidP="00B436CE">
      <w:pPr>
        <w:spacing w:after="0" w:line="240" w:lineRule="auto"/>
      </w:pPr>
      <w:r>
        <w:separator/>
      </w:r>
    </w:p>
  </w:endnote>
  <w:endnote w:type="continuationSeparator" w:id="0">
    <w:p w14:paraId="429EAFD1" w14:textId="77777777" w:rsidR="0095093B" w:rsidRDefault="0095093B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821775"/>
      <w:docPartObj>
        <w:docPartGallery w:val="Page Numbers (Bottom of Page)"/>
        <w:docPartUnique/>
      </w:docPartObj>
    </w:sdtPr>
    <w:sdtContent>
      <w:p w14:paraId="0D71DB2C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1D08F9">
          <w:rPr>
            <w:noProof/>
          </w:rPr>
          <w:t>4</w:t>
        </w:r>
        <w:r>
          <w:fldChar w:fldCharType="end"/>
        </w:r>
      </w:p>
    </w:sdtContent>
  </w:sdt>
  <w:p w14:paraId="63F1E6BF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7623" w14:textId="77777777" w:rsidR="0095093B" w:rsidRDefault="0095093B" w:rsidP="00B436CE">
      <w:pPr>
        <w:spacing w:after="0" w:line="240" w:lineRule="auto"/>
      </w:pPr>
      <w:r>
        <w:separator/>
      </w:r>
    </w:p>
  </w:footnote>
  <w:footnote w:type="continuationSeparator" w:id="0">
    <w:p w14:paraId="55C59237" w14:textId="77777777" w:rsidR="0095093B" w:rsidRDefault="0095093B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2FA5FC5"/>
    <w:multiLevelType w:val="hybridMultilevel"/>
    <w:tmpl w:val="86A27A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19F8"/>
    <w:multiLevelType w:val="multilevel"/>
    <w:tmpl w:val="CF3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B26BD"/>
    <w:multiLevelType w:val="hybridMultilevel"/>
    <w:tmpl w:val="D0500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885">
    <w:abstractNumId w:val="5"/>
  </w:num>
  <w:num w:numId="2" w16cid:durableId="610893526">
    <w:abstractNumId w:val="3"/>
  </w:num>
  <w:num w:numId="3" w16cid:durableId="521088701">
    <w:abstractNumId w:val="0"/>
  </w:num>
  <w:num w:numId="4" w16cid:durableId="134177992">
    <w:abstractNumId w:val="2"/>
  </w:num>
  <w:num w:numId="5" w16cid:durableId="740450608">
    <w:abstractNumId w:val="4"/>
  </w:num>
  <w:num w:numId="6" w16cid:durableId="625701597">
    <w:abstractNumId w:val="8"/>
  </w:num>
  <w:num w:numId="7" w16cid:durableId="512648090">
    <w:abstractNumId w:val="7"/>
  </w:num>
  <w:num w:numId="8" w16cid:durableId="2069260481">
    <w:abstractNumId w:val="6"/>
  </w:num>
  <w:num w:numId="9" w16cid:durableId="12930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C"/>
    <w:rsid w:val="00013F9C"/>
    <w:rsid w:val="00037EDE"/>
    <w:rsid w:val="0005726B"/>
    <w:rsid w:val="000A1D57"/>
    <w:rsid w:val="000C505F"/>
    <w:rsid w:val="000D524E"/>
    <w:rsid w:val="001462B3"/>
    <w:rsid w:val="00151E4A"/>
    <w:rsid w:val="0017494E"/>
    <w:rsid w:val="001D08F9"/>
    <w:rsid w:val="001D51C2"/>
    <w:rsid w:val="001E1AE4"/>
    <w:rsid w:val="00223243"/>
    <w:rsid w:val="00250996"/>
    <w:rsid w:val="00271231"/>
    <w:rsid w:val="00272C4E"/>
    <w:rsid w:val="00285923"/>
    <w:rsid w:val="003454C2"/>
    <w:rsid w:val="00355551"/>
    <w:rsid w:val="0036276D"/>
    <w:rsid w:val="0039117F"/>
    <w:rsid w:val="003B5EF7"/>
    <w:rsid w:val="003D4B5A"/>
    <w:rsid w:val="003F5A1A"/>
    <w:rsid w:val="004A6B47"/>
    <w:rsid w:val="004B29C5"/>
    <w:rsid w:val="0051679B"/>
    <w:rsid w:val="00535A7A"/>
    <w:rsid w:val="00595B80"/>
    <w:rsid w:val="005D15D8"/>
    <w:rsid w:val="005D17A7"/>
    <w:rsid w:val="005E7C21"/>
    <w:rsid w:val="005F131A"/>
    <w:rsid w:val="00621D0C"/>
    <w:rsid w:val="00656EED"/>
    <w:rsid w:val="006A59B4"/>
    <w:rsid w:val="006B0409"/>
    <w:rsid w:val="006B4166"/>
    <w:rsid w:val="006B4195"/>
    <w:rsid w:val="0074029B"/>
    <w:rsid w:val="007A6F1C"/>
    <w:rsid w:val="00814F13"/>
    <w:rsid w:val="00824834"/>
    <w:rsid w:val="00843B87"/>
    <w:rsid w:val="0089491F"/>
    <w:rsid w:val="008A5BEF"/>
    <w:rsid w:val="00900114"/>
    <w:rsid w:val="0093541C"/>
    <w:rsid w:val="0093553F"/>
    <w:rsid w:val="0095093B"/>
    <w:rsid w:val="00A64838"/>
    <w:rsid w:val="00B01E53"/>
    <w:rsid w:val="00B147BA"/>
    <w:rsid w:val="00B436CE"/>
    <w:rsid w:val="00B9586B"/>
    <w:rsid w:val="00BD02C3"/>
    <w:rsid w:val="00CC7135"/>
    <w:rsid w:val="00D20E81"/>
    <w:rsid w:val="00D67B27"/>
    <w:rsid w:val="00D903EE"/>
    <w:rsid w:val="00D94B46"/>
    <w:rsid w:val="00E009BD"/>
    <w:rsid w:val="00E31CBF"/>
    <w:rsid w:val="00E93E78"/>
    <w:rsid w:val="00EB3552"/>
    <w:rsid w:val="00EF01AC"/>
    <w:rsid w:val="00EF753F"/>
    <w:rsid w:val="00F031BD"/>
    <w:rsid w:val="00F666B6"/>
    <w:rsid w:val="00F8299F"/>
    <w:rsid w:val="00FA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1B8C"/>
  <w15:docId w15:val="{15EA0CDD-5095-4D87-8825-C5B48A9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paragraph" w:styleId="ab">
    <w:name w:val="Normal (Web)"/>
    <w:basedOn w:val="a"/>
    <w:uiPriority w:val="99"/>
    <w:semiHidden/>
    <w:unhideWhenUsed/>
    <w:rsid w:val="003D4B5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7B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8949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c-contro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Мурат Кунелбаев</cp:lastModifiedBy>
  <cp:revision>2</cp:revision>
  <dcterms:created xsi:type="dcterms:W3CDTF">2024-04-07T06:21:00Z</dcterms:created>
  <dcterms:modified xsi:type="dcterms:W3CDTF">2024-04-07T06:21:00Z</dcterms:modified>
</cp:coreProperties>
</file>